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FB6111B" w:rsidP="5FB6111B" w:rsidRDefault="5FB6111B" w14:paraId="62D01F02" w14:textId="4AA13E68">
      <w:pPr>
        <w:jc w:val="center"/>
      </w:pPr>
      <w:r w:rsidRPr="5FB6111B" w:rsidR="5FB6111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Працівник на «лікарняному»: коли звільняти не можна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11"/>
        <w:gridCol w:w="3019"/>
      </w:tblGrid>
      <w:tr w:rsidR="5FB6111B" w:rsidTr="569DE6E5" w14:paraId="3688665F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0B4974F7" w14:textId="2D480D52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ru"/>
              </w:rPr>
              <w:t>Причина звільнення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4514D4F3" w14:textId="60649722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ru"/>
              </w:rPr>
              <w:t>Стаття КЗпП, якою передбачено звільнення</w:t>
            </w:r>
          </w:p>
        </w:tc>
      </w:tr>
      <w:tr w:rsidR="5FB6111B" w:rsidTr="569DE6E5" w14:paraId="4B1D9D6E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62763E26" w14:textId="7948C884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Зміни в організації виробництва і праці, у т. ч. реорганізація, банкрутство або перепрофілювання підприємства, скорочення чисельності або штату працівників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20CDF3BE" w14:textId="14BAC3B1">
            <w:pPr>
              <w:jc w:val="both"/>
            </w:pPr>
            <w:hyperlink w:anchor="d554bdcfa0" r:id="R1ac8c39980814c91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ru"/>
                </w:rPr>
                <w:t>п. 1 ст. 40</w:t>
              </w:r>
            </w:hyperlink>
          </w:p>
        </w:tc>
      </w:tr>
      <w:tr w:rsidR="5FB6111B" w:rsidTr="569DE6E5" w14:paraId="1A1766CF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FB6111B" w:rsidP="5FB6111B" w:rsidRDefault="5FB6111B" w14:paraId="113DB475" w14:textId="2906D6BF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Невідповідність посаді (роботі) внаслідок недостатньої кваліфікації або стану здоров’я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5FC01D56" w14:textId="48863AFD">
            <w:pPr>
              <w:jc w:val="both"/>
            </w:pPr>
            <w:hyperlink w:anchor="049a9201d7" r:id="Rc5529644b32b43a7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ru"/>
                </w:rPr>
                <w:t>п. 2 ст. 40</w:t>
              </w:r>
            </w:hyperlink>
          </w:p>
        </w:tc>
      </w:tr>
      <w:tr w:rsidR="5FB6111B" w:rsidTr="569DE6E5" w14:paraId="4F834F3D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3CD43052" w14:textId="498AB8C4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Відмова в наданні допуску до державної таємниці або його скасування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57D7448D" w14:textId="65D5BD56">
            <w:pPr>
              <w:jc w:val="both"/>
            </w:pPr>
            <w:hyperlink w:anchor="049a9201d7" r:id="R80cabc0c5d564cdb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ru"/>
                </w:rPr>
                <w:t>п. 2 ст. 40</w:t>
              </w:r>
            </w:hyperlink>
          </w:p>
        </w:tc>
      </w:tr>
      <w:tr w:rsidR="5FB6111B" w:rsidTr="569DE6E5" w14:paraId="5144DF09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FB6111B" w:rsidP="5FB6111B" w:rsidRDefault="5FB6111B" w14:paraId="5F9DA103" w14:textId="7452503F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Систематичне невиконання обов’язків, покладених трудовим договором або ПВТР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5FB6111B" w:rsidTr="569DE6E5" w14:paraId="0DD29311">
              <w:tc>
                <w:tcPr>
                  <w:tcW w:w="2880" w:type="dxa"/>
                  <w:tcMar/>
                  <w:vAlign w:val="center"/>
                </w:tcPr>
                <w:p w:rsidR="5FB6111B" w:rsidP="5FB6111B" w:rsidRDefault="5FB6111B" w14:paraId="386DEB6F" w14:textId="7D7078CC">
                  <w:pPr>
                    <w:jc w:val="both"/>
                  </w:pPr>
                  <w:hyperlink w:anchor="b97457b123" r:id="Re3c7a31f23474877">
                    <w:r w:rsidRPr="569DE6E5" w:rsidR="569DE6E5">
                      <w:rPr>
                        <w:rStyle w:val="Hyperlink"/>
                        <w:rFonts w:ascii="Times New Roman" w:hAnsi="Times New Roman" w:eastAsia="Times New Roman" w:cs="Times New Roman"/>
                        <w:sz w:val="22"/>
                        <w:szCs w:val="22"/>
                        <w:lang w:val="uk"/>
                      </w:rPr>
                      <w:t>п. 3 ст. 40</w:t>
                    </w:r>
                  </w:hyperlink>
                </w:p>
              </w:tc>
            </w:tr>
          </w:tbl>
          <w:p w:rsidR="5FB6111B" w:rsidRDefault="5FB6111B" w14:paraId="6C9CA791"/>
        </w:tc>
      </w:tr>
      <w:tr w:rsidR="5FB6111B" w:rsidTr="569DE6E5" w14:paraId="34ABF455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FB6111B" w:rsidP="5FB6111B" w:rsidRDefault="5FB6111B" w14:paraId="43DCAEA3" w14:textId="65103696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Прогул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390EDE0E" w14:textId="08F777D8">
            <w:pPr>
              <w:jc w:val="both"/>
            </w:pPr>
            <w:hyperlink w:anchor="bfe3059f3b" r:id="Rc65ddc45e3224193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ru"/>
                </w:rPr>
                <w:t>п. 4 ст. 40</w:t>
              </w:r>
            </w:hyperlink>
          </w:p>
        </w:tc>
      </w:tr>
      <w:tr w:rsidR="5FB6111B" w:rsidTr="569DE6E5" w14:paraId="127419F0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FB6111B" w:rsidP="5FB6111B" w:rsidRDefault="5FB6111B" w14:paraId="0CF0F067" w14:textId="4EF5FC46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Поновлення на роботі працівника, який раніше виконував цю роботу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FB6111B" w:rsidP="5FB6111B" w:rsidRDefault="5FB6111B" w14:paraId="2F40EED9" w14:textId="5B1C1096">
            <w:pPr>
              <w:jc w:val="both"/>
            </w:pPr>
            <w:hyperlink w:anchor="7988ab08ba" r:id="R32922cb4b94a4199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ru"/>
                </w:rPr>
                <w:t>п. 6 ст. 40</w:t>
              </w:r>
            </w:hyperlink>
          </w:p>
        </w:tc>
      </w:tr>
      <w:tr w:rsidR="5FB6111B" w:rsidTr="569DE6E5" w14:paraId="6E730291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1F0C951A" w14:textId="20C0D693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Поява на роботі в нетверезому стані, у стані наркотичного або токсичного сп’яніння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29821820" w14:textId="2AD9EB48">
            <w:pPr>
              <w:jc w:val="both"/>
            </w:pPr>
            <w:hyperlink w:anchor="2b49d9ef15" r:id="R002d8435c8324437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ru"/>
                </w:rPr>
                <w:t>п. 7 ст. 40</w:t>
              </w:r>
            </w:hyperlink>
          </w:p>
        </w:tc>
      </w:tr>
      <w:tr w:rsidR="5FB6111B" w:rsidTr="569DE6E5" w14:paraId="2E8D00A5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513CD910" w14:textId="2A39B913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Розкрадання (в т. ч. дрібного) майна власника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67BA5341" w14:textId="117BE373">
            <w:pPr>
              <w:jc w:val="both"/>
            </w:pPr>
            <w:hyperlink w:anchor="abbc5a6baa" r:id="R6008b8956a394bae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ru"/>
                </w:rPr>
                <w:t>п. 8 ст. 40</w:t>
              </w:r>
            </w:hyperlink>
          </w:p>
        </w:tc>
      </w:tr>
      <w:tr w:rsidR="5FB6111B" w:rsidTr="569DE6E5" w14:paraId="347AABE9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65C7C3CE" w14:textId="27CFCA71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Призов або мобілізація власника — фізичної особи під час особливого періоду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0D06CF46" w14:textId="4F30E040">
            <w:pPr>
              <w:jc w:val="both"/>
            </w:pPr>
            <w:hyperlink w:anchor="49117d284a" r:id="Raa6714e1f5864896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ru"/>
                </w:rPr>
                <w:t>п. 10 ст. 40</w:t>
              </w:r>
            </w:hyperlink>
          </w:p>
        </w:tc>
      </w:tr>
      <w:tr w:rsidR="5FB6111B" w:rsidTr="569DE6E5" w14:paraId="56533199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2F529CAB" w14:textId="5D1EF69D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Встановлення невідповідності посаді або виконуваній роботі протягом строку випробування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511E25D6" w14:textId="1C184E33">
            <w:pPr>
              <w:jc w:val="both"/>
            </w:pPr>
            <w:hyperlink w:anchor="c38a30a767" r:id="R9aa7e1d9d6384a7e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ru"/>
                </w:rPr>
                <w:t>п. 11 ст. 40</w:t>
              </w:r>
            </w:hyperlink>
          </w:p>
        </w:tc>
      </w:tr>
      <w:tr w:rsidR="5FB6111B" w:rsidTr="569DE6E5" w14:paraId="66230F08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7A5849B4" w14:textId="7BAA1CB1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Одноразове грубе порушення трудових обов’язків керівником підприємства та іншими посадовими особами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5FB6111B" w:rsidTr="569DE6E5" w14:paraId="7A9524B9">
              <w:tc>
                <w:tcPr>
                  <w:tcW w:w="2880" w:type="dxa"/>
                  <w:tcMar/>
                  <w:vAlign w:val="center"/>
                </w:tcPr>
                <w:p w:rsidR="5FB6111B" w:rsidP="5FB6111B" w:rsidRDefault="5FB6111B" w14:paraId="14C41A5F" w14:textId="7D9A1002">
                  <w:pPr>
                    <w:jc w:val="both"/>
                  </w:pPr>
                  <w:hyperlink w:anchor="1427560cd6" r:id="Rbfecd1312cef4511">
                    <w:r w:rsidRPr="569DE6E5" w:rsidR="569DE6E5">
                      <w:rPr>
                        <w:rStyle w:val="Hyperlink"/>
                        <w:rFonts w:ascii="Times New Roman" w:hAnsi="Times New Roman" w:eastAsia="Times New Roman" w:cs="Times New Roman"/>
                        <w:sz w:val="22"/>
                        <w:szCs w:val="22"/>
                        <w:lang w:val="uk"/>
                      </w:rPr>
                      <w:t>п. 1 ст. 41</w:t>
                    </w:r>
                  </w:hyperlink>
                </w:p>
              </w:tc>
            </w:tr>
          </w:tbl>
          <w:p w:rsidR="5FB6111B" w:rsidRDefault="5FB6111B" w14:paraId="4763D2F3"/>
        </w:tc>
      </w:tr>
      <w:tr w:rsidR="5FB6111B" w:rsidTr="569DE6E5" w14:paraId="6D2BF8BA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493CC1F2" w14:textId="2E4584EF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Вчинення винних дій керівником підприємства, через які зарплату виплачували несвоєчасно або в розмірах, нижчих від мінімальної зарплати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560FC8BD" w14:textId="033D6AA1">
            <w:pPr>
              <w:jc w:val="both"/>
            </w:pPr>
            <w:hyperlink w:anchor="dc249638e9" r:id="Rba0c52d8a6d24491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ru"/>
                </w:rPr>
                <w:t>п. 1-1 ст. 41</w:t>
              </w:r>
            </w:hyperlink>
          </w:p>
        </w:tc>
      </w:tr>
      <w:tr w:rsidR="5FB6111B" w:rsidTr="569DE6E5" w14:paraId="1DFABC2E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5331504F" w14:textId="30794843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Втрата довір’я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7C6B8110" w14:textId="41F3C027">
            <w:pPr>
              <w:jc w:val="both"/>
            </w:pPr>
            <w:hyperlink w:anchor="6a484e27a6" r:id="R2094a8794c844b3d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ru"/>
                </w:rPr>
                <w:t>п. 2 ст. 41</w:t>
              </w:r>
            </w:hyperlink>
          </w:p>
        </w:tc>
      </w:tr>
      <w:tr w:rsidR="5FB6111B" w:rsidTr="569DE6E5" w14:paraId="593A4554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52829627" w14:textId="5A63BF66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Вчинення аморального проступку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5FB6111B" w:rsidTr="569DE6E5" w14:paraId="6468A69A">
              <w:tc>
                <w:tcPr>
                  <w:tcW w:w="2880" w:type="dxa"/>
                  <w:tcMar/>
                  <w:vAlign w:val="center"/>
                </w:tcPr>
                <w:p w:rsidR="5FB6111B" w:rsidP="5FB6111B" w:rsidRDefault="5FB6111B" w14:paraId="37F02B27" w14:textId="48F8636D">
                  <w:pPr>
                    <w:jc w:val="both"/>
                  </w:pPr>
                  <w:hyperlink w:anchor="6517b311f7" r:id="Rcb55cae25eae44d5">
                    <w:r w:rsidRPr="569DE6E5" w:rsidR="569DE6E5">
                      <w:rPr>
                        <w:rStyle w:val="Hyperlink"/>
                        <w:rFonts w:ascii="Times New Roman" w:hAnsi="Times New Roman" w:eastAsia="Times New Roman" w:cs="Times New Roman"/>
                        <w:sz w:val="22"/>
                        <w:szCs w:val="22"/>
                        <w:lang w:val="uk"/>
                      </w:rPr>
                      <w:t>п. 3 ст. 41</w:t>
                    </w:r>
                  </w:hyperlink>
                </w:p>
              </w:tc>
            </w:tr>
          </w:tbl>
          <w:p w:rsidR="5FB6111B" w:rsidRDefault="5FB6111B" w14:paraId="00F384FD"/>
        </w:tc>
      </w:tr>
      <w:tr w:rsidR="5FB6111B" w:rsidTr="569DE6E5" w14:paraId="4252060D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24B23C7C" w14:textId="2B68F3BB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Пряме підпорядкування близькій особі всупереч вимогам Закону України «Про запобігання корупції»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5FB6111B" w:rsidTr="569DE6E5" w14:paraId="63E19E08">
              <w:tc>
                <w:tcPr>
                  <w:tcW w:w="2880" w:type="dxa"/>
                  <w:tcMar/>
                  <w:vAlign w:val="center"/>
                </w:tcPr>
                <w:p w:rsidR="5FB6111B" w:rsidP="5FB6111B" w:rsidRDefault="5FB6111B" w14:paraId="7F3AF568" w14:textId="0063D0CB">
                  <w:pPr>
                    <w:jc w:val="both"/>
                  </w:pPr>
                  <w:hyperlink w:anchor="f65192e706" r:id="R2ede4a7c4bbe4141">
                    <w:r w:rsidRPr="569DE6E5" w:rsidR="569DE6E5">
                      <w:rPr>
                        <w:rStyle w:val="Hyperlink"/>
                        <w:rFonts w:ascii="Times New Roman" w:hAnsi="Times New Roman" w:eastAsia="Times New Roman" w:cs="Times New Roman"/>
                        <w:sz w:val="22"/>
                        <w:szCs w:val="22"/>
                        <w:lang w:val="uk"/>
                      </w:rPr>
                      <w:t>п. 4 ст. 41</w:t>
                    </w:r>
                  </w:hyperlink>
                </w:p>
              </w:tc>
            </w:tr>
          </w:tbl>
          <w:p w:rsidR="5FB6111B" w:rsidRDefault="5FB6111B" w14:paraId="1AC6DFC2"/>
        </w:tc>
      </w:tr>
      <w:tr w:rsidR="5FB6111B" w:rsidTr="569DE6E5" w14:paraId="0EAFFEE0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79252081" w14:textId="07E2926A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Припинення повноважень посадової особи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5FB6111B" w:rsidTr="569DE6E5" w14:paraId="18F663F6">
              <w:tc>
                <w:tcPr>
                  <w:tcW w:w="2880" w:type="dxa"/>
                  <w:tcMar/>
                  <w:vAlign w:val="center"/>
                </w:tcPr>
                <w:p w:rsidR="5FB6111B" w:rsidP="5FB6111B" w:rsidRDefault="5FB6111B" w14:paraId="0C63B53E" w14:textId="5212CEAF">
                  <w:pPr>
                    <w:jc w:val="both"/>
                  </w:pPr>
                  <w:hyperlink w:anchor="11f244e83c" r:id="R5bf3dd6252504f7d">
                    <w:r w:rsidRPr="569DE6E5" w:rsidR="569DE6E5">
                      <w:rPr>
                        <w:rStyle w:val="Hyperlink"/>
                        <w:rFonts w:ascii="Times New Roman" w:hAnsi="Times New Roman" w:eastAsia="Times New Roman" w:cs="Times New Roman"/>
                        <w:sz w:val="22"/>
                        <w:szCs w:val="22"/>
                        <w:lang w:val="uk"/>
                      </w:rPr>
                      <w:t>п. 5 ст. 41</w:t>
                    </w:r>
                  </w:hyperlink>
                </w:p>
              </w:tc>
            </w:tr>
          </w:tbl>
          <w:p w:rsidR="5FB6111B" w:rsidRDefault="5FB6111B" w14:paraId="722DE343"/>
        </w:tc>
      </w:tr>
      <w:tr w:rsidR="5FB6111B" w:rsidTr="569DE6E5" w14:paraId="34AA7A32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2C204004" w14:textId="76DDBE27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uk"/>
              </w:rPr>
              <w:t>Н</w:t>
            </w: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еможлив</w:t>
            </w: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uk"/>
              </w:rPr>
              <w:t xml:space="preserve">ість </w:t>
            </w: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забезпечення працівника роботою, визначеною трудовим договором, у зв'язку із знищенням (відсутністю) виробничих, організаційних та технічних умов, засобів виробництва або майна роботодавця внаслідок бойових дій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314AC139" w14:textId="70FAE008">
            <w:pPr>
              <w:jc w:val="both"/>
            </w:pPr>
            <w:hyperlink w:anchor="092832408f" r:id="R0ba615f8d5384e7f">
              <w:r w:rsidRPr="569DE6E5" w:rsidR="569DE6E5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  <w:lang w:val="uk"/>
                </w:rPr>
                <w:t>п. 6 ст. 41</w:t>
              </w:r>
            </w:hyperlink>
          </w:p>
        </w:tc>
      </w:tr>
      <w:tr w:rsidR="5FB6111B" w:rsidTr="569DE6E5" w14:paraId="49447BE6">
        <w:tc>
          <w:tcPr>
            <w:tcW w:w="66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FB6111B" w:rsidP="5FB6111B" w:rsidRDefault="5FB6111B" w14:paraId="1B168980" w14:textId="0B943972">
            <w:pPr>
              <w:jc w:val="both"/>
            </w:pPr>
            <w:r w:rsidRPr="5FB6111B" w:rsidR="5FB6111B">
              <w:rPr>
                <w:rFonts w:ascii="Times New Roman" w:hAnsi="Times New Roman" w:eastAsia="Times New Roman" w:cs="Times New Roman"/>
                <w:sz w:val="22"/>
                <w:szCs w:val="22"/>
                <w:lang w:val="ru"/>
              </w:rPr>
              <w:t>Вимога профспілкового органу</w:t>
            </w:r>
          </w:p>
        </w:tc>
        <w:tc>
          <w:tcPr>
            <w:tcW w:w="30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"/>
              <w:gridCol w:w="2799"/>
              <w:gridCol w:w="57"/>
            </w:tblGrid>
            <w:tr w:rsidR="5FB6111B" w:rsidTr="569DE6E5" w14:paraId="77319794">
              <w:tc>
                <w:tcPr>
                  <w:tcW w:w="2842" w:type="dxa"/>
                  <w:gridSpan w:val="2"/>
                  <w:tcMar/>
                  <w:vAlign w:val="center"/>
                </w:tcPr>
                <w:p w:rsidR="5FB6111B" w:rsidRDefault="5FB6111B" w14:paraId="6AAC99EB" w14:textId="7248177A"/>
              </w:tc>
              <w:tc>
                <w:tcPr>
                  <w:tcW w:w="57" w:type="dxa"/>
                  <w:tcBorders>
                    <w:top w:sz="0"/>
                    <w:left w:sz="0"/>
                    <w:bottom w:sz="0"/>
                    <w:right w:sz="0"/>
                  </w:tcBorders>
                  <w:tcMar/>
                  <w:vAlign w:val="center"/>
                </w:tcPr>
                <w:p w:rsidR="5FB6111B" w:rsidRDefault="5FB6111B" w14:paraId="3EE4E24D" w14:textId="11E78A9E"/>
              </w:tc>
            </w:tr>
            <w:tr w:rsidR="5FB6111B" w:rsidTr="569DE6E5" w14:paraId="3AB14D8C">
              <w:tc>
                <w:tcPr>
                  <w:tcW w:w="2842" w:type="dxa"/>
                  <w:gridSpan w:val="2"/>
                  <w:tcMar/>
                  <w:vAlign w:val="center"/>
                </w:tcPr>
                <w:p w:rsidR="5FB6111B" w:rsidP="5FB6111B" w:rsidRDefault="5FB6111B" w14:paraId="00B13C2C" w14:textId="672FA5B5">
                  <w:pPr>
                    <w:jc w:val="both"/>
                  </w:pPr>
                  <w:hyperlink w:anchor="cf7259938e" r:id="Re750b50534a8400c">
                    <w:r w:rsidRPr="569DE6E5" w:rsidR="569DE6E5">
                      <w:rPr>
                        <w:rStyle w:val="Hyperlink"/>
                        <w:rFonts w:ascii="Times New Roman" w:hAnsi="Times New Roman" w:eastAsia="Times New Roman" w:cs="Times New Roman"/>
                        <w:sz w:val="22"/>
                        <w:szCs w:val="22"/>
                        <w:lang w:val="uk"/>
                      </w:rPr>
                      <w:t>ст. 45</w:t>
                    </w:r>
                  </w:hyperlink>
                </w:p>
              </w:tc>
              <w:tc>
                <w:tcPr>
                  <w:tcW w:w="57" w:type="dxa"/>
                  <w:tcBorders>
                    <w:top w:sz="0"/>
                    <w:left w:sz="0"/>
                    <w:bottom w:sz="0"/>
                    <w:right w:sz="0"/>
                  </w:tcBorders>
                  <w:tcMar/>
                  <w:vAlign w:val="center"/>
                </w:tcPr>
                <w:p w:rsidR="5FB6111B" w:rsidRDefault="5FB6111B" w14:paraId="29DCCD9D" w14:textId="7CA7E5F3"/>
              </w:tc>
            </w:tr>
            <w:tr w:rsidR="5FB6111B" w:rsidTr="569DE6E5" w14:paraId="25D11AD1">
              <w:tc>
                <w:tcPr>
                  <w:tcW w:w="43" w:type="dxa"/>
                  <w:tcBorders>
                    <w:left w:val="nil"/>
                    <w:bottom w:val="nil"/>
                    <w:right w:val="nil"/>
                  </w:tcBorders>
                  <w:tcMar/>
                  <w:vAlign w:val="center"/>
                </w:tcPr>
                <w:p w:rsidR="5FB6111B" w:rsidRDefault="5FB6111B" w14:paraId="109AB26E" w14:textId="0368AD93"/>
              </w:tc>
              <w:tc>
                <w:tcPr>
                  <w:tcW w:w="27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vAlign w:val="center"/>
                </w:tcPr>
                <w:p w:rsidR="5FB6111B" w:rsidRDefault="5FB6111B" w14:paraId="3278BB0F" w14:textId="00882309"/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vAlign w:val="center"/>
                </w:tcPr>
                <w:p w:rsidR="5FB6111B" w:rsidRDefault="5FB6111B" w14:paraId="39EF14F3" w14:textId="6B87E024"/>
              </w:tc>
            </w:tr>
          </w:tbl>
          <w:p w:rsidR="5FB6111B" w:rsidRDefault="5FB6111B" w14:paraId="71BAD7FC"/>
        </w:tc>
      </w:tr>
    </w:tbl>
    <w:p w:rsidR="5FB6111B" w:rsidP="5FB6111B" w:rsidRDefault="5FB6111B" w14:paraId="07A0E125" w14:textId="36AF25FD">
      <w:pPr>
        <w:jc w:val="both"/>
        <w:rPr>
          <w:rFonts w:ascii="Calibri" w:hAnsi="Calibri" w:eastAsia="Calibri" w:cs="Calibri"/>
          <w:noProof w:val="0"/>
          <w:sz w:val="22"/>
          <w:szCs w:val="22"/>
          <w:lang w:val="uk"/>
        </w:rPr>
      </w:pPr>
    </w:p>
    <w:p w:rsidR="5FB6111B" w:rsidP="5FB6111B" w:rsidRDefault="5FB6111B" w14:paraId="27C5984C" w14:textId="2B7F1983">
      <w:pPr>
        <w:pStyle w:val="a"/>
      </w:pPr>
    </w:p>
    <w:sectPr w:rsidRPr="00524B2F" w:rsidR="007D39BA">
      <w:headerReference w:type="default" r:id="rId23"/>
      <w:footerReference w:type="default" r:id="rId24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26B" w:rsidP="00395F04" w:rsidRDefault="0046026B" w14:paraId="72D028C8" w14:textId="77777777">
      <w:r>
        <w:separator/>
      </w:r>
    </w:p>
  </w:endnote>
  <w:endnote w:type="continuationSeparator" w:id="0">
    <w:p w:rsidR="0046026B" w:rsidP="00395F04" w:rsidRDefault="0046026B" w14:paraId="03C83E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69DE6E5" w:rsidP="569DE6E5" w:rsidRDefault="569DE6E5" w14:paraId="267E350D" w14:textId="06B15710">
    <w:pPr>
      <w:pStyle w:val="a"/>
    </w:pPr>
    <w:r w:rsidRPr="569DE6E5" w:rsidR="569DE6E5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569DE6E5" w:rsidP="569DE6E5" w:rsidRDefault="569DE6E5" w14:paraId="041D2EAF" w14:textId="304D6212">
    <w:pPr>
      <w:pStyle w:val="a"/>
    </w:pPr>
    <w:r w:rsidRPr="569DE6E5" w:rsidR="569DE6E5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569DE6E5" w:rsidP="569DE6E5" w:rsidRDefault="569DE6E5" w14:paraId="08C57BAF" w14:textId="59B47CCD">
    <w:pPr>
      <w:pStyle w:val="a"/>
    </w:pPr>
    <w:r w:rsidRPr="569DE6E5" w:rsidR="569DE6E5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26B" w:rsidP="00395F04" w:rsidRDefault="0046026B" w14:paraId="77B8F0BE" w14:textId="77777777">
      <w:r>
        <w:separator/>
      </w:r>
    </w:p>
  </w:footnote>
  <w:footnote w:type="continuationSeparator" w:id="0">
    <w:p w:rsidR="0046026B" w:rsidP="00395F04" w:rsidRDefault="0046026B" w14:paraId="39C3474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361707" w:rsidP="00361707" w:rsidRDefault="00361707" w14:textId="77777777" w14:paraId="6A6D0840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bookmarkStart w:name="_Hlk93934824" w:id="22"/>
    <w:bookmarkStart w:name="_Hlk93934825" w:id="23"/>
    <w:bookmarkStart w:name="_Hlk93934830" w:id="24"/>
    <w:bookmarkStart w:name="_Hlk93934831" w:id="25"/>
    <w:bookmarkStart w:name="_Hlk93934838" w:id="26"/>
    <w:bookmarkStart w:name="_Hlk93934839" w:id="27"/>
    <w:bookmarkStart w:name="_Hlk93934848" w:id="28"/>
    <w:bookmarkStart w:name="_Hlk93934849" w:id="29"/>
    <w:bookmarkStart w:name="_Hlk93934855" w:id="30"/>
    <w:bookmarkStart w:name="_Hlk93934856" w:id="31"/>
    <w:bookmarkStart w:name="_Hlk93934864" w:id="32"/>
    <w:bookmarkStart w:name="_Hlk93934865" w:id="33"/>
    <w:bookmarkStart w:name="_Hlk93934871" w:id="34"/>
    <w:bookmarkStart w:name="_Hlk93934872" w:id="35"/>
    <w:r>
      <w:rPr>
        <w:noProof/>
        <w:lang w:val="uk-UA"/>
      </w:rPr>
      <w:drawing>
        <wp:inline distT="0" distB="0" distL="0" distR="0" wp14:anchorId="5265E0A4" wp14:editId="2967D36A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p w:rsidRPr="00361707" w:rsidR="00395F04" w:rsidP="00361707" w:rsidRDefault="00395F04" w14:paraId="1F4E6CD8" w14:textId="777777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04"/>
    <w:rsid w:val="00330612"/>
    <w:rsid w:val="00361707"/>
    <w:rsid w:val="00395F04"/>
    <w:rsid w:val="0046026B"/>
    <w:rsid w:val="004E64D4"/>
    <w:rsid w:val="00524B2F"/>
    <w:rsid w:val="00744F8B"/>
    <w:rsid w:val="007D39BA"/>
    <w:rsid w:val="007F698E"/>
    <w:rsid w:val="00821562"/>
    <w:rsid w:val="00865741"/>
    <w:rsid w:val="00973BC5"/>
    <w:rsid w:val="009946CB"/>
    <w:rsid w:val="569DE6E5"/>
    <w:rsid w:val="5FB6111B"/>
    <w:rsid w:val="65E23B94"/>
    <w:rsid w:val="7ED3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B29D"/>
  <w15:chartTrackingRefBased/>
  <w15:docId w15:val="{7F0ACA6E-7915-408C-87EB-BBE6D884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95F04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95F04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395F04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395F04"/>
    <w:rPr>
      <w:lang w:val="ru-RU"/>
    </w:rPr>
  </w:style>
  <w:style w:type="paragraph" w:styleId="a6">
    <w:name w:val="footer"/>
    <w:basedOn w:val="a"/>
    <w:link w:val="a7"/>
    <w:uiPriority w:val="99"/>
    <w:unhideWhenUsed/>
    <w:rsid w:val="00395F04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395F04"/>
    <w:rPr>
      <w:lang w:val="ru-RU"/>
    </w:rPr>
  </w:style>
  <w:style w:type="paragraph" w:styleId="ShiftCtrlAlt" w:customStyle="1">
    <w:name w:val="Таблица_заголовок (Таблица__Shift+Ctrl_Alt)"/>
    <w:uiPriority w:val="99"/>
    <w:rsid w:val="0033061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eastAsia="Calibri" w:cs="Arno Pro"/>
      <w:b/>
      <w:bCs/>
      <w:color w:val="000000"/>
      <w:sz w:val="24"/>
      <w:szCs w:val="24"/>
      <w:lang w:val="ru-RU"/>
    </w:rPr>
  </w:style>
  <w:style w:type="paragraph" w:styleId="ShiftCtrlAlt0" w:customStyle="1">
    <w:name w:val="Таблица_основной_текст (Таблица__Shift+Ctrl_Alt)"/>
    <w:uiPriority w:val="99"/>
    <w:rsid w:val="0033061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eastAsia="Calibri" w:cs="Myriad Pro"/>
      <w:color w:val="000000"/>
      <w:szCs w:val="18"/>
      <w:lang w:val="ru-RU"/>
    </w:rPr>
  </w:style>
  <w:style w:type="paragraph" w:styleId="ShiftCtrlAlt1" w:customStyle="1">
    <w:name w:val="Таблица_шапка (Таблица__Shift+Ctrl_Alt)"/>
    <w:basedOn w:val="ShiftCtrlAlt0"/>
    <w:uiPriority w:val="99"/>
    <w:rsid w:val="00330612"/>
    <w:pPr>
      <w:spacing w:line="180" w:lineRule="atLeast"/>
      <w:jc w:val="center"/>
    </w:pPr>
    <w:rPr>
      <w:b/>
      <w:bCs/>
      <w:szCs w:val="16"/>
    </w:rPr>
  </w:style>
  <w:style w:type="character" w:styleId="Bold" w:customStyle="1">
    <w:name w:val="Bold"/>
    <w:uiPriority w:val="99"/>
    <w:rsid w:val="00330612"/>
    <w:rPr>
      <w:rFonts w:ascii="Times New Roman" w:hAnsi="Times New Roman"/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26" /><Relationship Type="http://schemas.openxmlformats.org/officeDocument/2006/relationships/webSettings" Target="webSettings.xml" Id="rId3" /><Relationship Type="http://schemas.openxmlformats.org/officeDocument/2006/relationships/fontTable" Target="fontTable.xml" Id="rId25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24" /><Relationship Type="http://schemas.openxmlformats.org/officeDocument/2006/relationships/endnotes" Target="endnotes.xml" Id="rId5" /><Relationship Type="http://schemas.openxmlformats.org/officeDocument/2006/relationships/header" Target="header1.xml" Id="rId23" /><Relationship Type="http://schemas.openxmlformats.org/officeDocument/2006/relationships/footnotes" Target="footnotes.xml" Id="rId4" /><Relationship Type="http://schemas.openxmlformats.org/officeDocument/2006/relationships/hyperlink" Target="https://ek.expertus.com.ua/laws/17394" TargetMode="External" Id="R1ac8c39980814c91" /><Relationship Type="http://schemas.openxmlformats.org/officeDocument/2006/relationships/hyperlink" Target="https://ek.expertus.com.ua/laws/17394" TargetMode="External" Id="Rc5529644b32b43a7" /><Relationship Type="http://schemas.openxmlformats.org/officeDocument/2006/relationships/hyperlink" Target="https://ek.expertus.com.ua/laws/17394" TargetMode="External" Id="R80cabc0c5d564cdb" /><Relationship Type="http://schemas.openxmlformats.org/officeDocument/2006/relationships/hyperlink" Target="https://ek.expertus.com.ua/laws/17394" TargetMode="External" Id="Re3c7a31f23474877" /><Relationship Type="http://schemas.openxmlformats.org/officeDocument/2006/relationships/hyperlink" Target="https://ek.expertus.com.ua/laws/17394" TargetMode="External" Id="Rc65ddc45e3224193" /><Relationship Type="http://schemas.openxmlformats.org/officeDocument/2006/relationships/hyperlink" Target="https://ek.expertus.com.ua/laws/17394" TargetMode="External" Id="R32922cb4b94a4199" /><Relationship Type="http://schemas.openxmlformats.org/officeDocument/2006/relationships/hyperlink" Target="https://ek.expertus.com.ua/laws/17394" TargetMode="External" Id="R002d8435c8324437" /><Relationship Type="http://schemas.openxmlformats.org/officeDocument/2006/relationships/hyperlink" Target="https://ek.expertus.com.ua/laws/17394" TargetMode="External" Id="R6008b8956a394bae" /><Relationship Type="http://schemas.openxmlformats.org/officeDocument/2006/relationships/hyperlink" Target="https://ek.expertus.com.ua/laws/17394" TargetMode="External" Id="Raa6714e1f5864896" /><Relationship Type="http://schemas.openxmlformats.org/officeDocument/2006/relationships/hyperlink" Target="https://ek.expertus.com.ua/laws/17394" TargetMode="External" Id="R9aa7e1d9d6384a7e" /><Relationship Type="http://schemas.openxmlformats.org/officeDocument/2006/relationships/hyperlink" Target="https://ek.expertus.com.ua/laws/17394" TargetMode="External" Id="Rbfecd1312cef4511" /><Relationship Type="http://schemas.openxmlformats.org/officeDocument/2006/relationships/hyperlink" Target="https://ek.expertus.com.ua/laws/17394" TargetMode="External" Id="Rba0c52d8a6d24491" /><Relationship Type="http://schemas.openxmlformats.org/officeDocument/2006/relationships/hyperlink" Target="https://ek.expertus.com.ua/laws/17394" TargetMode="External" Id="R2094a8794c844b3d" /><Relationship Type="http://schemas.openxmlformats.org/officeDocument/2006/relationships/hyperlink" Target="https://ek.expertus.com.ua/laws/17394" TargetMode="External" Id="Rcb55cae25eae44d5" /><Relationship Type="http://schemas.openxmlformats.org/officeDocument/2006/relationships/hyperlink" Target="https://ek.expertus.com.ua/laws/17394" TargetMode="External" Id="R2ede4a7c4bbe4141" /><Relationship Type="http://schemas.openxmlformats.org/officeDocument/2006/relationships/hyperlink" Target="https://ek.expertus.com.ua/laws/17394" TargetMode="External" Id="R5bf3dd6252504f7d" /><Relationship Type="http://schemas.openxmlformats.org/officeDocument/2006/relationships/hyperlink" Target="https://ek.expertus.com.ua/laws/17394" TargetMode="External" Id="R0ba615f8d5384e7f" /><Relationship Type="http://schemas.openxmlformats.org/officeDocument/2006/relationships/hyperlink" Target="https://ek.expertus.com.ua/laws/17394" TargetMode="External" Id="Re750b50534a8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6</revision>
  <dcterms:created xsi:type="dcterms:W3CDTF">2022-01-24T15:48:00.0000000Z</dcterms:created>
  <dcterms:modified xsi:type="dcterms:W3CDTF">2023-05-22T12:22:37.3392819Z</dcterms:modified>
</coreProperties>
</file>